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73C" w:rsidRDefault="00B0373C" w:rsidP="00B0373C">
      <w:pPr>
        <w:spacing w:before="120" w:after="120" w:line="276" w:lineRule="auto"/>
        <w:ind w:firstLine="708"/>
        <w:jc w:val="right"/>
        <w:rPr>
          <w:rFonts w:ascii="Times New Roman" w:hAnsi="Times New Roman" w:cs="Times New Roman"/>
          <w:b/>
          <w:bCs/>
          <w:iCs/>
        </w:rPr>
      </w:pPr>
      <w:r>
        <w:rPr>
          <w:rFonts w:ascii="Times New Roman" w:hAnsi="Times New Roman" w:cs="Times New Roman"/>
          <w:b/>
          <w:bCs/>
          <w:iCs/>
        </w:rPr>
        <w:t>Anexa 8</w:t>
      </w:r>
    </w:p>
    <w:p w:rsidR="00047092" w:rsidRDefault="00047092" w:rsidP="00B0373C">
      <w:pPr>
        <w:spacing w:before="120" w:after="120" w:line="276" w:lineRule="auto"/>
        <w:ind w:firstLine="708"/>
        <w:jc w:val="center"/>
        <w:rPr>
          <w:rFonts w:ascii="Times New Roman" w:hAnsi="Times New Roman" w:cs="Times New Roman"/>
          <w:b/>
          <w:bCs/>
          <w:iCs/>
        </w:rPr>
      </w:pPr>
      <w:r>
        <w:rPr>
          <w:rFonts w:ascii="Times New Roman" w:hAnsi="Times New Roman" w:cs="Times New Roman"/>
          <w:b/>
          <w:bCs/>
          <w:iCs/>
        </w:rPr>
        <w:t>Criteriul de atribuire</w:t>
      </w:r>
    </w:p>
    <w:p w:rsidR="00047092" w:rsidRPr="001413DF" w:rsidRDefault="00047092" w:rsidP="00047092">
      <w:pPr>
        <w:spacing w:before="120" w:after="120" w:line="276" w:lineRule="auto"/>
        <w:ind w:firstLine="708"/>
        <w:jc w:val="both"/>
        <w:rPr>
          <w:rFonts w:ascii="Times New Roman" w:hAnsi="Times New Roman" w:cs="Times New Roman"/>
          <w:b/>
          <w:bCs/>
          <w:iCs/>
        </w:rPr>
      </w:pPr>
      <w:r w:rsidRPr="001413DF">
        <w:rPr>
          <w:rFonts w:ascii="Times New Roman" w:hAnsi="Times New Roman" w:cs="Times New Roman"/>
          <w:b/>
          <w:bCs/>
          <w:iCs/>
        </w:rPr>
        <w:t>Alegerea și justificarea criteriilor de atribuire și dupa caz a factorilor de evaluare utilizați:</w:t>
      </w:r>
    </w:p>
    <w:p w:rsidR="00B0373C" w:rsidRPr="00F772F7" w:rsidRDefault="00B0373C" w:rsidP="00B0373C">
      <w:pPr>
        <w:autoSpaceDE w:val="0"/>
        <w:autoSpaceDN w:val="0"/>
        <w:adjustRightInd w:val="0"/>
        <w:ind w:firstLine="567"/>
        <w:jc w:val="both"/>
        <w:rPr>
          <w:rFonts w:ascii="Times New Roman" w:eastAsia="Calibri" w:hAnsi="Times New Roman" w:cs="Times New Roman"/>
          <w:strike/>
        </w:rPr>
      </w:pPr>
      <w:r>
        <w:rPr>
          <w:rFonts w:ascii="Times New Roman" w:eastAsia="Calibri" w:hAnsi="Times New Roman" w:cs="Times New Roman"/>
        </w:rPr>
        <w:t xml:space="preserve">   </w:t>
      </w:r>
      <w:r w:rsidRPr="00F772F7">
        <w:rPr>
          <w:rFonts w:ascii="Times New Roman" w:eastAsia="Calibri" w:hAnsi="Times New Roman" w:cs="Times New Roman"/>
        </w:rPr>
        <w:t>În vederea stabilirii ofertei cea mai avantajoasă din punct de vedere economic, contractul</w:t>
      </w:r>
      <w:r w:rsidRPr="00F772F7">
        <w:rPr>
          <w:rFonts w:ascii="Times New Roman" w:eastAsia="Times New Roman" w:hAnsi="Times New Roman" w:cs="Times New Roman"/>
        </w:rPr>
        <w:t xml:space="preserve"> va fi atribuit utilizând criteriul </w:t>
      </w:r>
      <w:r w:rsidRPr="00F772F7">
        <w:rPr>
          <w:rFonts w:ascii="Times New Roman" w:eastAsia="Calibri" w:hAnsi="Times New Roman" w:cs="Times New Roman"/>
          <w:b/>
        </w:rPr>
        <w:t>"cel mai bun raport calitate-preţ"</w:t>
      </w:r>
      <w:r w:rsidRPr="00F772F7">
        <w:rPr>
          <w:rFonts w:ascii="Times New Roman" w:eastAsia="Calibri" w:hAnsi="Times New Roman" w:cs="Times New Roman"/>
        </w:rPr>
        <w:t>prevăzut de art. 187, alin. (3) lit.  a) din Legea nr. 98/2016.</w:t>
      </w:r>
    </w:p>
    <w:p w:rsidR="00B0373C" w:rsidRPr="00F772F7" w:rsidRDefault="00B0373C" w:rsidP="00B0373C">
      <w:pPr>
        <w:tabs>
          <w:tab w:val="left" w:pos="851"/>
        </w:tabs>
        <w:jc w:val="both"/>
        <w:rPr>
          <w:rFonts w:ascii="Times New Roman" w:eastAsia="Calibri" w:hAnsi="Times New Roman" w:cs="Times New Roman"/>
        </w:rPr>
      </w:pPr>
      <w:r w:rsidRPr="00F772F7">
        <w:rPr>
          <w:rFonts w:ascii="Times New Roman" w:eastAsia="Calibri" w:hAnsi="Times New Roman" w:cs="Times New Roman"/>
        </w:rPr>
        <w:t xml:space="preserve">       </w:t>
      </w:r>
      <w:r>
        <w:rPr>
          <w:rFonts w:ascii="Times New Roman" w:eastAsia="Calibri" w:hAnsi="Times New Roman" w:cs="Times New Roman"/>
        </w:rPr>
        <w:t xml:space="preserve">     </w:t>
      </w:r>
      <w:r w:rsidRPr="00F772F7">
        <w:rPr>
          <w:rFonts w:ascii="Times New Roman" w:eastAsia="Calibri" w:hAnsi="Times New Roman" w:cs="Times New Roman"/>
        </w:rPr>
        <w:t xml:space="preserve"> Cel mai bun raport calitate-preț se determină pe baza unor factori de evaluare care includ aspecte calitative, de mediu și/sau sociale, în legătură cu obiectul contractului de achiziție publică/acordului-cadru (art. 187, alin (4), Legea nr. 98/2016).</w:t>
      </w:r>
    </w:p>
    <w:p w:rsidR="00047092" w:rsidRDefault="00047092" w:rsidP="00047092">
      <w:pPr>
        <w:spacing w:before="120" w:after="120" w:line="276" w:lineRule="auto"/>
        <w:ind w:firstLine="708"/>
        <w:jc w:val="both"/>
        <w:rPr>
          <w:rFonts w:ascii="Times New Roman" w:hAnsi="Times New Roman" w:cs="Times New Roman"/>
          <w:iCs/>
        </w:rPr>
      </w:pPr>
      <w:r w:rsidRPr="001413DF">
        <w:rPr>
          <w:rFonts w:ascii="Times New Roman" w:hAnsi="Times New Roman" w:cs="Times New Roman"/>
          <w:iCs/>
        </w:rPr>
        <w:t>Factorii de evaluare utilizați pentru aplicarea criteriului cel mai bun raport calitate preț sunt:</w:t>
      </w:r>
    </w:p>
    <w:p w:rsidR="00047092" w:rsidRPr="001413DF" w:rsidRDefault="00047092" w:rsidP="00047092">
      <w:pPr>
        <w:spacing w:before="120" w:after="120" w:line="276" w:lineRule="auto"/>
        <w:ind w:firstLine="708"/>
        <w:jc w:val="both"/>
        <w:rPr>
          <w:rFonts w:ascii="Times New Roman" w:hAnsi="Times New Roman" w:cs="Times New Roman"/>
          <w:b/>
          <w:bCs/>
          <w:iCs/>
        </w:rPr>
      </w:pPr>
      <w:r w:rsidRPr="001413DF">
        <w:rPr>
          <w:rFonts w:ascii="Times New Roman" w:hAnsi="Times New Roman" w:cs="Times New Roman"/>
          <w:b/>
          <w:bCs/>
          <w:iCs/>
        </w:rPr>
        <w:t>1. Factor  de evaluare                                                Pondere               Puncte</w:t>
      </w:r>
    </w:p>
    <w:p w:rsidR="00047092" w:rsidRPr="001413DF" w:rsidRDefault="00047092" w:rsidP="00047092">
      <w:pPr>
        <w:spacing w:before="120" w:after="120" w:line="276" w:lineRule="auto"/>
        <w:ind w:firstLine="708"/>
        <w:jc w:val="both"/>
        <w:rPr>
          <w:rFonts w:ascii="Times New Roman" w:hAnsi="Times New Roman" w:cs="Times New Roman"/>
          <w:b/>
          <w:bCs/>
          <w:iCs/>
        </w:rPr>
      </w:pPr>
      <w:r w:rsidRPr="001413DF">
        <w:rPr>
          <w:rFonts w:ascii="Times New Roman" w:hAnsi="Times New Roman" w:cs="Times New Roman"/>
          <w:b/>
          <w:bCs/>
          <w:iCs/>
        </w:rPr>
        <w:t xml:space="preserve">    Preţul ofertei                                                            40%                       40</w:t>
      </w:r>
    </w:p>
    <w:p w:rsidR="00047092" w:rsidRPr="001413DF" w:rsidRDefault="00047092" w:rsidP="00047092">
      <w:pPr>
        <w:spacing w:after="0" w:line="276" w:lineRule="auto"/>
        <w:ind w:firstLine="708"/>
        <w:jc w:val="both"/>
        <w:rPr>
          <w:rFonts w:ascii="Times New Roman" w:hAnsi="Times New Roman" w:cs="Times New Roman"/>
          <w:iCs/>
        </w:rPr>
      </w:pPr>
      <w:r w:rsidRPr="001413DF">
        <w:rPr>
          <w:rFonts w:ascii="Times New Roman" w:hAnsi="Times New Roman" w:cs="Times New Roman"/>
          <w:iCs/>
        </w:rPr>
        <w:t>Descriere: Componenta financiară (preț)</w:t>
      </w:r>
    </w:p>
    <w:p w:rsidR="00047092" w:rsidRPr="001413DF" w:rsidRDefault="00047092" w:rsidP="00047092">
      <w:pPr>
        <w:spacing w:after="0" w:line="276" w:lineRule="auto"/>
        <w:ind w:firstLine="708"/>
        <w:jc w:val="both"/>
        <w:rPr>
          <w:rFonts w:ascii="Times New Roman" w:hAnsi="Times New Roman" w:cs="Times New Roman"/>
          <w:iCs/>
        </w:rPr>
      </w:pPr>
      <w:r w:rsidRPr="001413DF">
        <w:rPr>
          <w:rFonts w:ascii="Times New Roman" w:hAnsi="Times New Roman" w:cs="Times New Roman"/>
          <w:iCs/>
        </w:rPr>
        <w:t xml:space="preserve">Algoritm de calcul: </w:t>
      </w:r>
    </w:p>
    <w:p w:rsidR="00047092" w:rsidRPr="001413DF" w:rsidRDefault="00047092" w:rsidP="00047092">
      <w:pPr>
        <w:spacing w:after="0" w:line="276" w:lineRule="auto"/>
        <w:ind w:firstLine="708"/>
        <w:jc w:val="both"/>
        <w:rPr>
          <w:rFonts w:ascii="Times New Roman" w:hAnsi="Times New Roman" w:cs="Times New Roman"/>
          <w:iCs/>
        </w:rPr>
      </w:pPr>
      <w:r w:rsidRPr="001413DF">
        <w:rPr>
          <w:rFonts w:ascii="Times New Roman" w:hAnsi="Times New Roman" w:cs="Times New Roman"/>
          <w:iCs/>
        </w:rPr>
        <w:t>Punctajul se acorda astfel:</w:t>
      </w:r>
    </w:p>
    <w:p w:rsidR="00047092" w:rsidRPr="001413DF" w:rsidRDefault="00047092" w:rsidP="00047092">
      <w:pPr>
        <w:spacing w:after="0" w:line="276" w:lineRule="auto"/>
        <w:ind w:firstLine="708"/>
        <w:jc w:val="both"/>
        <w:rPr>
          <w:rFonts w:ascii="Times New Roman" w:hAnsi="Times New Roman" w:cs="Times New Roman"/>
          <w:iCs/>
        </w:rPr>
      </w:pPr>
      <w:r w:rsidRPr="001413DF">
        <w:rPr>
          <w:rFonts w:ascii="Times New Roman" w:hAnsi="Times New Roman" w:cs="Times New Roman"/>
          <w:iCs/>
        </w:rPr>
        <w:t xml:space="preserve">Algoritm de calcul - Punctajul se acordă astfel: </w:t>
      </w:r>
    </w:p>
    <w:p w:rsidR="00047092" w:rsidRPr="001413DF" w:rsidRDefault="00047092" w:rsidP="00047092">
      <w:pPr>
        <w:spacing w:after="0" w:line="276" w:lineRule="auto"/>
        <w:ind w:firstLine="708"/>
        <w:jc w:val="both"/>
        <w:rPr>
          <w:rFonts w:ascii="Times New Roman" w:hAnsi="Times New Roman" w:cs="Times New Roman"/>
          <w:iCs/>
        </w:rPr>
      </w:pPr>
      <w:r w:rsidRPr="001413DF">
        <w:rPr>
          <w:rFonts w:ascii="Times New Roman" w:hAnsi="Times New Roman" w:cs="Times New Roman"/>
          <w:iCs/>
        </w:rPr>
        <w:t xml:space="preserve">a) Pentru cel mai scazut dintre preturi se acorda punctajul maxim alocat; </w:t>
      </w:r>
    </w:p>
    <w:p w:rsidR="00047092" w:rsidRPr="001413DF" w:rsidRDefault="00047092" w:rsidP="00047092">
      <w:pPr>
        <w:spacing w:after="0" w:line="276" w:lineRule="auto"/>
        <w:ind w:firstLine="708"/>
        <w:jc w:val="both"/>
        <w:rPr>
          <w:rFonts w:ascii="Times New Roman" w:hAnsi="Times New Roman" w:cs="Times New Roman"/>
          <w:iCs/>
        </w:rPr>
      </w:pPr>
      <w:r w:rsidRPr="001413DF">
        <w:rPr>
          <w:rFonts w:ascii="Times New Roman" w:hAnsi="Times New Roman" w:cs="Times New Roman"/>
          <w:iCs/>
        </w:rPr>
        <w:t xml:space="preserve">b) Pentru celelalte preturi ofertate punctajul P(n) se calculează proporțional, astfel: </w:t>
      </w:r>
    </w:p>
    <w:p w:rsidR="00047092" w:rsidRPr="001413DF" w:rsidRDefault="00047092" w:rsidP="00047092">
      <w:pPr>
        <w:spacing w:after="0" w:line="276" w:lineRule="auto"/>
        <w:ind w:firstLine="708"/>
        <w:jc w:val="both"/>
        <w:rPr>
          <w:rFonts w:ascii="Times New Roman" w:hAnsi="Times New Roman" w:cs="Times New Roman"/>
          <w:iCs/>
        </w:rPr>
      </w:pPr>
      <w:r w:rsidRPr="001413DF">
        <w:rPr>
          <w:rFonts w:ascii="Times New Roman" w:hAnsi="Times New Roman" w:cs="Times New Roman"/>
          <w:iCs/>
        </w:rPr>
        <w:t>P(n) = (Pret minim ofertat / Preț n) x punctaj maxim alocat.</w:t>
      </w:r>
    </w:p>
    <w:p w:rsidR="00047092" w:rsidRPr="001413DF" w:rsidRDefault="00047092" w:rsidP="00047092">
      <w:pPr>
        <w:spacing w:after="0" w:line="276" w:lineRule="auto"/>
        <w:ind w:firstLine="708"/>
        <w:jc w:val="both"/>
        <w:rPr>
          <w:rFonts w:ascii="Times New Roman" w:hAnsi="Times New Roman" w:cs="Times New Roman"/>
          <w:iCs/>
        </w:rPr>
      </w:pPr>
    </w:p>
    <w:p w:rsidR="00047092" w:rsidRDefault="00047092" w:rsidP="00047092">
      <w:pPr>
        <w:spacing w:after="0" w:line="276" w:lineRule="auto"/>
        <w:ind w:firstLine="708"/>
        <w:jc w:val="both"/>
        <w:rPr>
          <w:rFonts w:ascii="Times New Roman" w:hAnsi="Times New Roman" w:cs="Times New Roman"/>
          <w:iCs/>
        </w:rPr>
      </w:pPr>
      <w:r w:rsidRPr="001413DF">
        <w:rPr>
          <w:rFonts w:ascii="Times New Roman" w:hAnsi="Times New Roman" w:cs="Times New Roman"/>
          <w:iCs/>
        </w:rPr>
        <w:t>Preţurile care se compară, în vederea acordării punctajului, sunt preţurile ofertate, exclusiv T.V.A.</w:t>
      </w:r>
    </w:p>
    <w:p w:rsidR="00047092" w:rsidRPr="001413DF" w:rsidRDefault="00047092" w:rsidP="00047092">
      <w:pPr>
        <w:spacing w:before="120" w:after="120" w:line="276" w:lineRule="auto"/>
        <w:ind w:firstLine="708"/>
        <w:jc w:val="both"/>
        <w:rPr>
          <w:rFonts w:ascii="Times New Roman" w:hAnsi="Times New Roman" w:cs="Times New Roman"/>
          <w:b/>
          <w:bCs/>
          <w:iCs/>
        </w:rPr>
      </w:pPr>
      <w:r>
        <w:rPr>
          <w:rFonts w:ascii="Times New Roman" w:hAnsi="Times New Roman" w:cs="Times New Roman"/>
          <w:b/>
          <w:bCs/>
          <w:iCs/>
        </w:rPr>
        <w:t xml:space="preserve">2. </w:t>
      </w:r>
      <w:r w:rsidRPr="001413DF">
        <w:rPr>
          <w:rFonts w:ascii="Times New Roman" w:hAnsi="Times New Roman" w:cs="Times New Roman"/>
          <w:b/>
          <w:bCs/>
          <w:iCs/>
        </w:rPr>
        <w:t>Factor  de evaluare                                                Pondere               Puncte</w:t>
      </w:r>
    </w:p>
    <w:p w:rsidR="00047092" w:rsidRDefault="00047092" w:rsidP="00047092">
      <w:pPr>
        <w:spacing w:before="120" w:after="120" w:line="276" w:lineRule="auto"/>
        <w:ind w:firstLine="708"/>
        <w:jc w:val="both"/>
        <w:rPr>
          <w:rFonts w:ascii="Times New Roman" w:hAnsi="Times New Roman" w:cs="Times New Roman"/>
          <w:b/>
          <w:bCs/>
          <w:iCs/>
        </w:rPr>
      </w:pPr>
      <w:r w:rsidRPr="001413DF">
        <w:rPr>
          <w:rFonts w:ascii="Times New Roman" w:hAnsi="Times New Roman" w:cs="Times New Roman"/>
          <w:b/>
          <w:bCs/>
          <w:iCs/>
        </w:rPr>
        <w:t xml:space="preserve">    </w:t>
      </w:r>
      <w:r w:rsidR="00B0373C" w:rsidRPr="000C2432">
        <w:rPr>
          <w:rFonts w:ascii="Times New Roman" w:hAnsi="Times New Roman" w:cs="Times New Roman"/>
          <w:b/>
          <w:bCs/>
          <w:iCs/>
        </w:rPr>
        <w:t>Perioadele de garanţie extinse</w:t>
      </w:r>
      <w:r w:rsidRPr="001413DF">
        <w:rPr>
          <w:rFonts w:ascii="Times New Roman" w:hAnsi="Times New Roman" w:cs="Times New Roman"/>
          <w:b/>
          <w:bCs/>
          <w:iCs/>
        </w:rPr>
        <w:t xml:space="preserve">  </w:t>
      </w:r>
      <w:r w:rsidR="00B0373C">
        <w:rPr>
          <w:rFonts w:ascii="Times New Roman" w:hAnsi="Times New Roman" w:cs="Times New Roman"/>
          <w:b/>
          <w:bCs/>
          <w:iCs/>
        </w:rPr>
        <w:t xml:space="preserve">                   </w:t>
      </w:r>
      <w:r w:rsidRPr="001413DF">
        <w:rPr>
          <w:rFonts w:ascii="Times New Roman" w:hAnsi="Times New Roman" w:cs="Times New Roman"/>
          <w:b/>
          <w:bCs/>
          <w:iCs/>
        </w:rPr>
        <w:t xml:space="preserve">     </w:t>
      </w:r>
      <w:r>
        <w:rPr>
          <w:rFonts w:ascii="Times New Roman" w:hAnsi="Times New Roman" w:cs="Times New Roman"/>
          <w:b/>
          <w:bCs/>
          <w:iCs/>
        </w:rPr>
        <w:t xml:space="preserve">             6</w:t>
      </w:r>
      <w:r w:rsidRPr="001413DF">
        <w:rPr>
          <w:rFonts w:ascii="Times New Roman" w:hAnsi="Times New Roman" w:cs="Times New Roman"/>
          <w:b/>
          <w:bCs/>
          <w:iCs/>
        </w:rPr>
        <w:t xml:space="preserve">0%                     </w:t>
      </w:r>
      <w:r>
        <w:rPr>
          <w:rFonts w:ascii="Times New Roman" w:hAnsi="Times New Roman" w:cs="Times New Roman"/>
          <w:b/>
          <w:bCs/>
          <w:iCs/>
        </w:rPr>
        <w:t>6</w:t>
      </w:r>
      <w:r w:rsidRPr="001413DF">
        <w:rPr>
          <w:rFonts w:ascii="Times New Roman" w:hAnsi="Times New Roman" w:cs="Times New Roman"/>
          <w:b/>
          <w:bCs/>
          <w:iCs/>
        </w:rPr>
        <w:t>0</w:t>
      </w:r>
    </w:p>
    <w:p w:rsidR="00B0373C" w:rsidRDefault="00B0373C" w:rsidP="00047092">
      <w:pPr>
        <w:spacing w:before="120" w:after="120" w:line="276" w:lineRule="auto"/>
        <w:ind w:firstLine="708"/>
        <w:jc w:val="both"/>
        <w:rPr>
          <w:rFonts w:ascii="Times New Roman" w:hAnsi="Times New Roman" w:cs="Times New Roman"/>
          <w:iCs/>
        </w:rPr>
      </w:pPr>
      <w:r w:rsidRPr="00CA0EA9">
        <w:rPr>
          <w:rFonts w:ascii="Times New Roman" w:hAnsi="Times New Roman" w:cs="Times New Roman"/>
          <w:iCs/>
        </w:rPr>
        <w:t>Cerința</w:t>
      </w:r>
      <w:r>
        <w:rPr>
          <w:rFonts w:ascii="Times New Roman" w:hAnsi="Times New Roman" w:cs="Times New Roman"/>
          <w:iCs/>
        </w:rPr>
        <w:t>:</w:t>
      </w:r>
    </w:p>
    <w:p w:rsidR="00B0373C" w:rsidRPr="000C2432" w:rsidRDefault="00B0373C" w:rsidP="00B0373C">
      <w:pPr>
        <w:spacing w:before="120" w:after="120" w:line="276" w:lineRule="auto"/>
        <w:jc w:val="both"/>
        <w:rPr>
          <w:rFonts w:ascii="Times New Roman" w:hAnsi="Times New Roman" w:cs="Times New Roman"/>
          <w:iCs/>
        </w:rPr>
      </w:pPr>
      <w:r w:rsidRPr="000C2432">
        <w:rPr>
          <w:rFonts w:ascii="Times New Roman" w:hAnsi="Times New Roman" w:cs="Times New Roman"/>
          <w:iCs/>
        </w:rPr>
        <w:t xml:space="preserve">Se atribuie un număr de </w:t>
      </w:r>
      <w:r>
        <w:rPr>
          <w:rFonts w:ascii="Times New Roman" w:hAnsi="Times New Roman" w:cs="Times New Roman"/>
          <w:b/>
          <w:bCs/>
          <w:iCs/>
        </w:rPr>
        <w:t>2,5</w:t>
      </w:r>
      <w:r w:rsidRPr="006F6860">
        <w:rPr>
          <w:rFonts w:ascii="Times New Roman" w:hAnsi="Times New Roman" w:cs="Times New Roman"/>
          <w:b/>
          <w:bCs/>
          <w:iCs/>
        </w:rPr>
        <w:t xml:space="preserve"> puncte suplimentare</w:t>
      </w:r>
      <w:r w:rsidRPr="000C2432">
        <w:rPr>
          <w:rFonts w:ascii="Times New Roman" w:hAnsi="Times New Roman" w:cs="Times New Roman"/>
          <w:iCs/>
        </w:rPr>
        <w:t xml:space="preserve"> pentru fiecare </w:t>
      </w:r>
      <w:r>
        <w:rPr>
          <w:rFonts w:ascii="Times New Roman" w:hAnsi="Times New Roman" w:cs="Times New Roman"/>
          <w:iCs/>
        </w:rPr>
        <w:t>lună</w:t>
      </w:r>
      <w:r w:rsidRPr="000C2432">
        <w:rPr>
          <w:rFonts w:ascii="Times New Roman" w:hAnsi="Times New Roman" w:cs="Times New Roman"/>
          <w:iCs/>
        </w:rPr>
        <w:t xml:space="preserve"> de garanţie şi</w:t>
      </w:r>
      <w:r>
        <w:rPr>
          <w:rFonts w:ascii="Times New Roman" w:hAnsi="Times New Roman" w:cs="Times New Roman"/>
          <w:iCs/>
        </w:rPr>
        <w:t xml:space="preserve"> </w:t>
      </w:r>
      <w:r w:rsidRPr="000C2432">
        <w:rPr>
          <w:rFonts w:ascii="Times New Roman" w:hAnsi="Times New Roman" w:cs="Times New Roman"/>
          <w:iCs/>
        </w:rPr>
        <w:t>acord privind servicii suplimentare oferit în</w:t>
      </w:r>
      <w:r>
        <w:rPr>
          <w:rFonts w:ascii="Times New Roman" w:hAnsi="Times New Roman" w:cs="Times New Roman"/>
          <w:iCs/>
        </w:rPr>
        <w:t xml:space="preserve"> </w:t>
      </w:r>
      <w:r w:rsidRPr="000C2432">
        <w:rPr>
          <w:rFonts w:ascii="Times New Roman" w:hAnsi="Times New Roman" w:cs="Times New Roman"/>
          <w:iCs/>
        </w:rPr>
        <w:t>plus fa</w:t>
      </w:r>
      <w:r w:rsidRPr="000C2432">
        <w:rPr>
          <w:rFonts w:ascii="Times New Roman" w:hAnsi="Times New Roman" w:cs="Times New Roman" w:hint="eastAsia"/>
          <w:iCs/>
        </w:rPr>
        <w:t>ţă</w:t>
      </w:r>
      <w:r w:rsidRPr="000C2432">
        <w:rPr>
          <w:rFonts w:ascii="Times New Roman" w:hAnsi="Times New Roman" w:cs="Times New Roman"/>
          <w:iCs/>
        </w:rPr>
        <w:t xml:space="preserve"> de specifica</w:t>
      </w:r>
      <w:r w:rsidRPr="000C2432">
        <w:rPr>
          <w:rFonts w:ascii="Times New Roman" w:hAnsi="Times New Roman" w:cs="Times New Roman" w:hint="eastAsia"/>
          <w:iCs/>
        </w:rPr>
        <w:t>ţ</w:t>
      </w:r>
      <w:r w:rsidRPr="000C2432">
        <w:rPr>
          <w:rFonts w:ascii="Times New Roman" w:hAnsi="Times New Roman" w:cs="Times New Roman"/>
          <w:iCs/>
        </w:rPr>
        <w:t>iile tehnice minime</w:t>
      </w:r>
      <w:r>
        <w:rPr>
          <w:rFonts w:ascii="Times New Roman" w:hAnsi="Times New Roman" w:cs="Times New Roman"/>
          <w:iCs/>
        </w:rPr>
        <w:t xml:space="preserve"> </w:t>
      </w:r>
      <w:r w:rsidRPr="000C2432">
        <w:rPr>
          <w:rFonts w:ascii="Times New Roman" w:hAnsi="Times New Roman" w:cs="Times New Roman"/>
          <w:iCs/>
        </w:rPr>
        <w:t>dup</w:t>
      </w:r>
      <w:r w:rsidRPr="000C2432">
        <w:rPr>
          <w:rFonts w:ascii="Times New Roman" w:hAnsi="Times New Roman" w:cs="Times New Roman" w:hint="eastAsia"/>
          <w:iCs/>
        </w:rPr>
        <w:t>ă</w:t>
      </w:r>
      <w:r w:rsidRPr="000C2432">
        <w:rPr>
          <w:rFonts w:ascii="Times New Roman" w:hAnsi="Times New Roman" w:cs="Times New Roman"/>
          <w:iCs/>
        </w:rPr>
        <w:t xml:space="preserve"> cum urmeaz</w:t>
      </w:r>
      <w:r w:rsidRPr="000C2432">
        <w:rPr>
          <w:rFonts w:ascii="Times New Roman" w:hAnsi="Times New Roman" w:cs="Times New Roman" w:hint="eastAsia"/>
          <w:iCs/>
        </w:rPr>
        <w:t>ă</w:t>
      </w:r>
      <w:r w:rsidRPr="000C2432">
        <w:rPr>
          <w:rFonts w:ascii="Times New Roman" w:hAnsi="Times New Roman" w:cs="Times New Roman"/>
          <w:iCs/>
        </w:rPr>
        <w:t>:</w:t>
      </w:r>
    </w:p>
    <w:p w:rsidR="00B0373C" w:rsidRPr="000C2432" w:rsidRDefault="00B0373C" w:rsidP="00B0373C">
      <w:pPr>
        <w:spacing w:before="120" w:after="120" w:line="276" w:lineRule="auto"/>
        <w:jc w:val="both"/>
        <w:rPr>
          <w:rFonts w:ascii="Times New Roman" w:hAnsi="Times New Roman" w:cs="Times New Roman"/>
          <w:iCs/>
        </w:rPr>
      </w:pPr>
      <w:r w:rsidRPr="000C2432">
        <w:rPr>
          <w:rFonts w:ascii="Times New Roman" w:hAnsi="Times New Roman" w:cs="Times New Roman"/>
          <w:iCs/>
        </w:rPr>
        <w:t xml:space="preserve">+ </w:t>
      </w:r>
      <w:r>
        <w:rPr>
          <w:rFonts w:ascii="Times New Roman" w:hAnsi="Times New Roman" w:cs="Times New Roman"/>
          <w:iCs/>
        </w:rPr>
        <w:t>2</w:t>
      </w:r>
      <w:r w:rsidRPr="000C2432">
        <w:rPr>
          <w:rFonts w:ascii="Times New Roman" w:hAnsi="Times New Roman" w:cs="Times New Roman"/>
          <w:iCs/>
        </w:rPr>
        <w:t xml:space="preserve"> </w:t>
      </w:r>
      <w:r>
        <w:rPr>
          <w:rFonts w:ascii="Times New Roman" w:hAnsi="Times New Roman" w:cs="Times New Roman"/>
          <w:iCs/>
        </w:rPr>
        <w:t xml:space="preserve">ani </w:t>
      </w:r>
      <w:r w:rsidRPr="000C2432">
        <w:rPr>
          <w:rFonts w:ascii="Times New Roman" w:hAnsi="Times New Roman" w:cs="Times New Roman"/>
          <w:iCs/>
        </w:rPr>
        <w:t>sau mai mul</w:t>
      </w:r>
      <w:r w:rsidRPr="000C2432">
        <w:rPr>
          <w:rFonts w:ascii="Times New Roman" w:hAnsi="Times New Roman" w:cs="Times New Roman" w:hint="eastAsia"/>
          <w:iCs/>
        </w:rPr>
        <w:t>ţ</w:t>
      </w:r>
      <w:r w:rsidRPr="000C2432">
        <w:rPr>
          <w:rFonts w:ascii="Times New Roman" w:hAnsi="Times New Roman" w:cs="Times New Roman"/>
          <w:iCs/>
        </w:rPr>
        <w:t>i ani de garan</w:t>
      </w:r>
      <w:r w:rsidRPr="000C2432">
        <w:rPr>
          <w:rFonts w:ascii="Times New Roman" w:hAnsi="Times New Roman" w:cs="Times New Roman" w:hint="eastAsia"/>
          <w:iCs/>
        </w:rPr>
        <w:t>ţ</w:t>
      </w:r>
      <w:r w:rsidRPr="000C2432">
        <w:rPr>
          <w:rFonts w:ascii="Times New Roman" w:hAnsi="Times New Roman" w:cs="Times New Roman"/>
          <w:iCs/>
        </w:rPr>
        <w:t>ie</w:t>
      </w:r>
      <w:r>
        <w:rPr>
          <w:rFonts w:ascii="Times New Roman" w:hAnsi="Times New Roman" w:cs="Times New Roman"/>
          <w:iCs/>
        </w:rPr>
        <w:t xml:space="preserve"> </w:t>
      </w:r>
      <w:r w:rsidRPr="000C2432">
        <w:rPr>
          <w:rFonts w:ascii="Times New Roman" w:hAnsi="Times New Roman" w:cs="Times New Roman"/>
          <w:iCs/>
        </w:rPr>
        <w:t>suplimentar</w:t>
      </w:r>
      <w:r w:rsidRPr="000C2432">
        <w:rPr>
          <w:rFonts w:ascii="Times New Roman" w:hAnsi="Times New Roman" w:cs="Times New Roman" w:hint="eastAsia"/>
          <w:iCs/>
        </w:rPr>
        <w:t>ă</w:t>
      </w:r>
      <w:r w:rsidRPr="000C2432">
        <w:rPr>
          <w:rFonts w:ascii="Times New Roman" w:hAnsi="Times New Roman" w:cs="Times New Roman"/>
          <w:iCs/>
        </w:rPr>
        <w:t xml:space="preserve">: </w:t>
      </w:r>
      <w:r>
        <w:rPr>
          <w:rFonts w:ascii="Times New Roman" w:hAnsi="Times New Roman" w:cs="Times New Roman"/>
          <w:b/>
          <w:bCs/>
          <w:iCs/>
        </w:rPr>
        <w:t>60</w:t>
      </w:r>
      <w:r w:rsidRPr="00B0206B">
        <w:rPr>
          <w:rFonts w:ascii="Times New Roman" w:hAnsi="Times New Roman" w:cs="Times New Roman"/>
          <w:b/>
          <w:bCs/>
          <w:iCs/>
        </w:rPr>
        <w:t xml:space="preserve"> puncte</w:t>
      </w:r>
      <w:r w:rsidRPr="000C2432">
        <w:rPr>
          <w:rFonts w:ascii="Times New Roman" w:hAnsi="Times New Roman" w:cs="Times New Roman"/>
          <w:iCs/>
        </w:rPr>
        <w:t>;</w:t>
      </w:r>
    </w:p>
    <w:p w:rsidR="00B0373C" w:rsidRDefault="00B0373C" w:rsidP="00B0373C">
      <w:pPr>
        <w:spacing w:before="120" w:after="120" w:line="276" w:lineRule="auto"/>
        <w:jc w:val="both"/>
        <w:rPr>
          <w:rFonts w:ascii="Times New Roman" w:hAnsi="Times New Roman" w:cs="Times New Roman"/>
          <w:iCs/>
        </w:rPr>
      </w:pPr>
      <w:r w:rsidRPr="000C2432">
        <w:rPr>
          <w:rFonts w:ascii="Times New Roman" w:hAnsi="Times New Roman" w:cs="Times New Roman"/>
          <w:iCs/>
        </w:rPr>
        <w:t xml:space="preserve">+ </w:t>
      </w:r>
      <w:r>
        <w:rPr>
          <w:rFonts w:ascii="Times New Roman" w:hAnsi="Times New Roman" w:cs="Times New Roman"/>
          <w:iCs/>
        </w:rPr>
        <w:t>1 an</w:t>
      </w:r>
      <w:r w:rsidRPr="000C2432">
        <w:rPr>
          <w:rFonts w:ascii="Times New Roman" w:hAnsi="Times New Roman" w:cs="Times New Roman"/>
          <w:iCs/>
        </w:rPr>
        <w:t xml:space="preserve"> de garan</w:t>
      </w:r>
      <w:r w:rsidRPr="000C2432">
        <w:rPr>
          <w:rFonts w:ascii="Times New Roman" w:hAnsi="Times New Roman" w:cs="Times New Roman" w:hint="eastAsia"/>
          <w:iCs/>
        </w:rPr>
        <w:t>ţ</w:t>
      </w:r>
      <w:r w:rsidRPr="000C2432">
        <w:rPr>
          <w:rFonts w:ascii="Times New Roman" w:hAnsi="Times New Roman" w:cs="Times New Roman"/>
          <w:iCs/>
        </w:rPr>
        <w:t>ie suplimentar</w:t>
      </w:r>
      <w:r w:rsidRPr="000C2432">
        <w:rPr>
          <w:rFonts w:ascii="Times New Roman" w:hAnsi="Times New Roman" w:cs="Times New Roman" w:hint="eastAsia"/>
          <w:iCs/>
        </w:rPr>
        <w:t>ă</w:t>
      </w:r>
      <w:r w:rsidRPr="000C2432">
        <w:rPr>
          <w:rFonts w:ascii="Times New Roman" w:hAnsi="Times New Roman" w:cs="Times New Roman"/>
          <w:iCs/>
        </w:rPr>
        <w:t>:</w:t>
      </w:r>
      <w:r>
        <w:rPr>
          <w:rFonts w:ascii="Times New Roman" w:hAnsi="Times New Roman" w:cs="Times New Roman"/>
          <w:iCs/>
        </w:rPr>
        <w:t xml:space="preserve"> </w:t>
      </w:r>
      <w:r>
        <w:rPr>
          <w:rFonts w:ascii="Times New Roman" w:hAnsi="Times New Roman" w:cs="Times New Roman"/>
          <w:b/>
          <w:iCs/>
        </w:rPr>
        <w:t>30</w:t>
      </w:r>
      <w:r w:rsidRPr="00E23346">
        <w:rPr>
          <w:rFonts w:ascii="Times New Roman" w:hAnsi="Times New Roman" w:cs="Times New Roman"/>
          <w:b/>
          <w:iCs/>
        </w:rPr>
        <w:t xml:space="preserve"> puncte</w:t>
      </w:r>
      <w:r>
        <w:rPr>
          <w:rFonts w:ascii="Times New Roman" w:hAnsi="Times New Roman" w:cs="Times New Roman"/>
          <w:iCs/>
        </w:rPr>
        <w:t>;</w:t>
      </w:r>
    </w:p>
    <w:p w:rsidR="00B0373C" w:rsidRDefault="00B0373C" w:rsidP="00B0373C">
      <w:pPr>
        <w:spacing w:before="120" w:after="120" w:line="276" w:lineRule="auto"/>
        <w:jc w:val="both"/>
        <w:rPr>
          <w:rFonts w:ascii="Times New Roman" w:hAnsi="Times New Roman" w:cs="Times New Roman"/>
          <w:iCs/>
        </w:rPr>
      </w:pPr>
      <w:r w:rsidRPr="000C2432">
        <w:rPr>
          <w:rFonts w:ascii="Times New Roman" w:hAnsi="Times New Roman" w:cs="Times New Roman"/>
          <w:iCs/>
        </w:rPr>
        <w:t xml:space="preserve">+ </w:t>
      </w:r>
      <w:r>
        <w:rPr>
          <w:rFonts w:ascii="Times New Roman" w:hAnsi="Times New Roman" w:cs="Times New Roman"/>
          <w:iCs/>
        </w:rPr>
        <w:t>6 luni</w:t>
      </w:r>
      <w:r w:rsidRPr="000C2432">
        <w:rPr>
          <w:rFonts w:ascii="Times New Roman" w:hAnsi="Times New Roman" w:cs="Times New Roman"/>
          <w:iCs/>
        </w:rPr>
        <w:t xml:space="preserve"> de garan</w:t>
      </w:r>
      <w:r w:rsidRPr="000C2432">
        <w:rPr>
          <w:rFonts w:ascii="Times New Roman" w:hAnsi="Times New Roman" w:cs="Times New Roman" w:hint="eastAsia"/>
          <w:iCs/>
        </w:rPr>
        <w:t>ţ</w:t>
      </w:r>
      <w:r w:rsidRPr="000C2432">
        <w:rPr>
          <w:rFonts w:ascii="Times New Roman" w:hAnsi="Times New Roman" w:cs="Times New Roman"/>
          <w:iCs/>
        </w:rPr>
        <w:t>ie suplimentar</w:t>
      </w:r>
      <w:r w:rsidRPr="000C2432">
        <w:rPr>
          <w:rFonts w:ascii="Times New Roman" w:hAnsi="Times New Roman" w:cs="Times New Roman" w:hint="eastAsia"/>
          <w:iCs/>
        </w:rPr>
        <w:t>ă</w:t>
      </w:r>
      <w:r w:rsidRPr="000C2432">
        <w:rPr>
          <w:rFonts w:ascii="Times New Roman" w:hAnsi="Times New Roman" w:cs="Times New Roman"/>
          <w:iCs/>
        </w:rPr>
        <w:t xml:space="preserve">: </w:t>
      </w:r>
      <w:r>
        <w:rPr>
          <w:rFonts w:ascii="Times New Roman" w:hAnsi="Times New Roman" w:cs="Times New Roman"/>
          <w:b/>
          <w:iCs/>
        </w:rPr>
        <w:t>15</w:t>
      </w:r>
      <w:r w:rsidRPr="00E23346">
        <w:rPr>
          <w:rFonts w:ascii="Times New Roman" w:hAnsi="Times New Roman" w:cs="Times New Roman"/>
          <w:b/>
          <w:iCs/>
        </w:rPr>
        <w:t xml:space="preserve"> puncte</w:t>
      </w:r>
      <w:r>
        <w:rPr>
          <w:rFonts w:ascii="Times New Roman" w:hAnsi="Times New Roman" w:cs="Times New Roman"/>
          <w:iCs/>
        </w:rPr>
        <w:t>;</w:t>
      </w:r>
    </w:p>
    <w:p w:rsidR="00B0373C" w:rsidRDefault="00B0373C" w:rsidP="00B0373C">
      <w:pPr>
        <w:spacing w:before="120" w:after="120" w:line="276" w:lineRule="auto"/>
        <w:jc w:val="both"/>
        <w:rPr>
          <w:rFonts w:ascii="Times New Roman" w:hAnsi="Times New Roman" w:cs="Times New Roman"/>
          <w:iCs/>
        </w:rPr>
      </w:pPr>
      <w:r w:rsidRPr="000C2432">
        <w:rPr>
          <w:rFonts w:ascii="Times New Roman" w:hAnsi="Times New Roman" w:cs="Times New Roman"/>
          <w:iCs/>
        </w:rPr>
        <w:t xml:space="preserve">+ </w:t>
      </w:r>
      <w:r>
        <w:rPr>
          <w:rFonts w:ascii="Times New Roman" w:hAnsi="Times New Roman" w:cs="Times New Roman"/>
          <w:iCs/>
        </w:rPr>
        <w:t>0 luni</w:t>
      </w:r>
      <w:r w:rsidRPr="000C2432">
        <w:rPr>
          <w:rFonts w:ascii="Times New Roman" w:hAnsi="Times New Roman" w:cs="Times New Roman"/>
          <w:iCs/>
        </w:rPr>
        <w:t xml:space="preserve"> garan</w:t>
      </w:r>
      <w:r w:rsidRPr="000C2432">
        <w:rPr>
          <w:rFonts w:ascii="Times New Roman" w:hAnsi="Times New Roman" w:cs="Times New Roman" w:hint="eastAsia"/>
          <w:iCs/>
        </w:rPr>
        <w:t>ţ</w:t>
      </w:r>
      <w:r w:rsidRPr="000C2432">
        <w:rPr>
          <w:rFonts w:ascii="Times New Roman" w:hAnsi="Times New Roman" w:cs="Times New Roman"/>
          <w:iCs/>
        </w:rPr>
        <w:t>ie suplimentar</w:t>
      </w:r>
      <w:r w:rsidRPr="000C2432">
        <w:rPr>
          <w:rFonts w:ascii="Times New Roman" w:hAnsi="Times New Roman" w:cs="Times New Roman" w:hint="eastAsia"/>
          <w:iCs/>
        </w:rPr>
        <w:t>ă</w:t>
      </w:r>
      <w:r w:rsidRPr="000C2432">
        <w:rPr>
          <w:rFonts w:ascii="Times New Roman" w:hAnsi="Times New Roman" w:cs="Times New Roman"/>
          <w:iCs/>
        </w:rPr>
        <w:t xml:space="preserve">: </w:t>
      </w:r>
      <w:r w:rsidRPr="00E23346">
        <w:rPr>
          <w:rFonts w:ascii="Times New Roman" w:hAnsi="Times New Roman" w:cs="Times New Roman"/>
          <w:b/>
          <w:iCs/>
        </w:rPr>
        <w:t>0 puncte</w:t>
      </w:r>
      <w:r>
        <w:rPr>
          <w:rFonts w:ascii="Times New Roman" w:hAnsi="Times New Roman" w:cs="Times New Roman"/>
          <w:iCs/>
        </w:rPr>
        <w:t>;</w:t>
      </w:r>
    </w:p>
    <w:p w:rsidR="00B0373C" w:rsidRPr="00B0373C" w:rsidRDefault="00B0373C" w:rsidP="00B0373C">
      <w:pPr>
        <w:spacing w:before="120" w:after="120" w:line="276" w:lineRule="auto"/>
        <w:jc w:val="both"/>
        <w:rPr>
          <w:rFonts w:ascii="Times New Roman" w:hAnsi="Times New Roman" w:cs="Times New Roman"/>
          <w:iCs/>
        </w:rPr>
      </w:pPr>
      <w:r>
        <w:rPr>
          <w:rFonts w:ascii="Times New Roman" w:hAnsi="Times New Roman" w:cs="Times New Roman"/>
          <w:iCs/>
        </w:rPr>
        <w:tab/>
      </w:r>
      <w:r w:rsidRPr="00CA0EA9">
        <w:rPr>
          <w:rFonts w:ascii="Times New Roman" w:hAnsi="Times New Roman" w:cs="Times New Roman"/>
          <w:iCs/>
        </w:rPr>
        <w:t>Modalitatea de îndeplinire</w:t>
      </w:r>
    </w:p>
    <w:p w:rsidR="00B0373C" w:rsidRPr="00B0373C" w:rsidRDefault="00B0373C" w:rsidP="00047092">
      <w:pPr>
        <w:spacing w:before="120" w:after="120" w:line="276" w:lineRule="auto"/>
        <w:ind w:firstLine="708"/>
        <w:jc w:val="both"/>
        <w:rPr>
          <w:rFonts w:ascii="Times New Roman" w:hAnsi="Times New Roman" w:cs="Times New Roman"/>
          <w:bCs/>
          <w:iCs/>
        </w:rPr>
      </w:pPr>
      <w:r w:rsidRPr="000C2432">
        <w:rPr>
          <w:rFonts w:ascii="Times New Roman" w:hAnsi="Times New Roman" w:cs="Times New Roman"/>
          <w:iCs/>
        </w:rPr>
        <w:t>Ofertantul prezintă o declaraţie scrisă</w:t>
      </w:r>
      <w:r>
        <w:rPr>
          <w:rFonts w:ascii="Times New Roman" w:hAnsi="Times New Roman" w:cs="Times New Roman"/>
          <w:iCs/>
        </w:rPr>
        <w:t xml:space="preserve"> </w:t>
      </w:r>
      <w:r w:rsidRPr="000C2432">
        <w:rPr>
          <w:rFonts w:ascii="Times New Roman" w:hAnsi="Times New Roman" w:cs="Times New Roman"/>
          <w:iCs/>
        </w:rPr>
        <w:t>care detaliază perioada oferită şi care</w:t>
      </w:r>
      <w:r>
        <w:rPr>
          <w:rFonts w:ascii="Times New Roman" w:hAnsi="Times New Roman" w:cs="Times New Roman"/>
          <w:iCs/>
        </w:rPr>
        <w:t xml:space="preserve"> </w:t>
      </w:r>
      <w:r w:rsidRPr="000C2432">
        <w:rPr>
          <w:rFonts w:ascii="Times New Roman" w:hAnsi="Times New Roman" w:cs="Times New Roman"/>
          <w:iCs/>
        </w:rPr>
        <w:t>atestă că se acoperă conformitatea</w:t>
      </w:r>
      <w:r>
        <w:rPr>
          <w:rFonts w:ascii="Times New Roman" w:hAnsi="Times New Roman" w:cs="Times New Roman"/>
          <w:iCs/>
        </w:rPr>
        <w:t xml:space="preserve"> </w:t>
      </w:r>
      <w:r w:rsidRPr="000C2432">
        <w:rPr>
          <w:rFonts w:ascii="Times New Roman" w:hAnsi="Times New Roman" w:cs="Times New Roman"/>
          <w:iCs/>
        </w:rPr>
        <w:t>bunurilor cu specificaţiile contractului,</w:t>
      </w:r>
      <w:r>
        <w:rPr>
          <w:rFonts w:ascii="Times New Roman" w:hAnsi="Times New Roman" w:cs="Times New Roman"/>
          <w:iCs/>
        </w:rPr>
        <w:t xml:space="preserve"> </w:t>
      </w:r>
      <w:r w:rsidRPr="000C2432">
        <w:rPr>
          <w:rFonts w:ascii="Times New Roman" w:hAnsi="Times New Roman" w:cs="Times New Roman"/>
          <w:iCs/>
        </w:rPr>
        <w:t>inclusiv toate utilizările indicate.</w:t>
      </w:r>
    </w:p>
    <w:p w:rsidR="00047092" w:rsidRDefault="00047092" w:rsidP="00047092">
      <w:pPr>
        <w:jc w:val="both"/>
        <w:rPr>
          <w:rFonts w:ascii="Times New Roman" w:hAnsi="Times New Roman" w:cs="Times New Roman"/>
          <w:iCs/>
        </w:rPr>
      </w:pPr>
    </w:p>
    <w:p w:rsidR="00047092" w:rsidRPr="000A4941" w:rsidRDefault="00047092" w:rsidP="00047092">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lastRenderedPageBreak/>
        <w:t>În cadrul algoritmului de calcul al punctajului operatorului economic, factorul de evaluare "preţul ofertei" are o pondere de 40%, iar "</w:t>
      </w:r>
      <w:r w:rsidR="00B0373C">
        <w:rPr>
          <w:rFonts w:ascii="Times New Roman" w:hAnsi="Times New Roman" w:cs="Times New Roman"/>
          <w:iCs/>
        </w:rPr>
        <w:t>componenta tehnică</w:t>
      </w:r>
      <w:r w:rsidRPr="000A4941">
        <w:rPr>
          <w:rFonts w:ascii="Times New Roman" w:hAnsi="Times New Roman" w:cs="Times New Roman"/>
          <w:iCs/>
        </w:rPr>
        <w:t xml:space="preserve">" are o pondere de </w:t>
      </w:r>
      <w:r>
        <w:rPr>
          <w:rFonts w:ascii="Times New Roman" w:hAnsi="Times New Roman" w:cs="Times New Roman"/>
          <w:iCs/>
        </w:rPr>
        <w:t>6</w:t>
      </w:r>
      <w:r w:rsidRPr="000A4941">
        <w:rPr>
          <w:rFonts w:ascii="Times New Roman" w:hAnsi="Times New Roman" w:cs="Times New Roman"/>
          <w:iCs/>
        </w:rPr>
        <w:t>0%.</w:t>
      </w:r>
    </w:p>
    <w:p w:rsidR="00047092" w:rsidRPr="000A4941" w:rsidRDefault="00047092" w:rsidP="00047092">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Stabilirea ofertei câştigătoare se va realiza numai prin compararea punctajelor ofertelor admisibile, fără să fie cuantificate alte elemente de natură tehnică sau alte avantaje care rezultă din modul de îndeplinire a contractului de către operatorii economici participanţi la procedura de atribuire.</w:t>
      </w:r>
    </w:p>
    <w:p w:rsidR="00047092" w:rsidRPr="000A4941" w:rsidRDefault="00047092" w:rsidP="00047092">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În urma acordării punctajelor fiecărei oferte, se va stabili clasamentul în ordinea descrescătoare a punctajelor.</w:t>
      </w:r>
    </w:p>
    <w:p w:rsidR="00047092" w:rsidRPr="000A4941" w:rsidRDefault="00047092" w:rsidP="00047092">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Punctajul final al fiecărei oferte va fi stabilit prin calcularea sumei punctajelor aferente fiecărui factor de evaluare, calculate conform algoritmului de calcul prezentat. Oferta cu punctajul final cel mai mare va fi considerată oferta câștigătoare.</w:t>
      </w:r>
    </w:p>
    <w:p w:rsidR="00047092" w:rsidRDefault="00047092" w:rsidP="00047092">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În cazul în care, în urma aplicării criteriului de atribuire și stabilirii clasamentului final, comisia de evaluare constată că sunt două sau mai multe oferte clasate pe primul loc, cu punctaje egale, departajarea se va face având în vedere punctajul obţinut la factorii de evaluare în ordinea descrescătoare a ponderilor acestora. În situaţia în care egalitatea se menţine, autoritatea contractantă are dreptul să solicite noi propuneri financiare şi oferta câştigătoare va fi desemnată cea cu propunerea financiară cea mai mică.</w:t>
      </w:r>
    </w:p>
    <w:p w:rsidR="00047092" w:rsidRPr="000A4941" w:rsidRDefault="00047092" w:rsidP="00047092">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Algoritm de calcul punctaj total:</w:t>
      </w:r>
    </w:p>
    <w:p w:rsidR="00047092" w:rsidRPr="00DA434F" w:rsidRDefault="00047092" w:rsidP="00047092">
      <w:pPr>
        <w:spacing w:before="120" w:after="120" w:line="276" w:lineRule="auto"/>
        <w:ind w:firstLine="708"/>
        <w:jc w:val="both"/>
        <w:rPr>
          <w:rFonts w:ascii="Times New Roman" w:hAnsi="Times New Roman" w:cs="Times New Roman"/>
          <w:b/>
          <w:bCs/>
          <w:iCs/>
        </w:rPr>
      </w:pPr>
      <w:r w:rsidRPr="00DA434F">
        <w:rPr>
          <w:rFonts w:ascii="Times New Roman" w:hAnsi="Times New Roman" w:cs="Times New Roman"/>
          <w:b/>
          <w:bCs/>
          <w:iCs/>
        </w:rPr>
        <w:t>PT = POf + P</w:t>
      </w:r>
      <w:r w:rsidR="00B0373C">
        <w:rPr>
          <w:rFonts w:ascii="Times New Roman" w:hAnsi="Times New Roman" w:cs="Times New Roman"/>
          <w:b/>
          <w:bCs/>
          <w:iCs/>
        </w:rPr>
        <w:t>Pg</w:t>
      </w:r>
      <w:r w:rsidRPr="00DA434F">
        <w:rPr>
          <w:rFonts w:ascii="Times New Roman" w:hAnsi="Times New Roman" w:cs="Times New Roman"/>
          <w:b/>
          <w:bCs/>
          <w:iCs/>
        </w:rPr>
        <w:t>e = 100 puncte</w:t>
      </w:r>
    </w:p>
    <w:p w:rsidR="00047092" w:rsidRPr="000A4941" w:rsidRDefault="00047092" w:rsidP="00047092">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Unde:</w:t>
      </w:r>
    </w:p>
    <w:p w:rsidR="00047092" w:rsidRPr="000A4941" w:rsidRDefault="00047092" w:rsidP="00047092">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PT = punctaj total;</w:t>
      </w:r>
    </w:p>
    <w:p w:rsidR="00047092" w:rsidRPr="000A4941" w:rsidRDefault="00047092" w:rsidP="00047092">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POf = punctaj ofertă financiară (preț)</w:t>
      </w:r>
    </w:p>
    <w:p w:rsidR="00047092" w:rsidRPr="000A4941" w:rsidRDefault="00047092" w:rsidP="00047092">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P</w:t>
      </w:r>
      <w:r>
        <w:rPr>
          <w:rFonts w:ascii="Times New Roman" w:hAnsi="Times New Roman" w:cs="Times New Roman"/>
          <w:iCs/>
        </w:rPr>
        <w:t>Ce</w:t>
      </w:r>
      <w:r w:rsidRPr="000A4941">
        <w:rPr>
          <w:rFonts w:ascii="Times New Roman" w:hAnsi="Times New Roman" w:cs="Times New Roman"/>
          <w:iCs/>
        </w:rPr>
        <w:t xml:space="preserve"> = punctaj </w:t>
      </w:r>
      <w:r w:rsidR="00B0373C">
        <w:rPr>
          <w:rFonts w:ascii="Times New Roman" w:hAnsi="Times New Roman" w:cs="Times New Roman"/>
          <w:iCs/>
        </w:rPr>
        <w:t>perioada de garanție extinsă</w:t>
      </w:r>
      <w:r w:rsidRPr="000A4941">
        <w:rPr>
          <w:rFonts w:ascii="Times New Roman" w:hAnsi="Times New Roman" w:cs="Times New Roman"/>
          <w:iCs/>
        </w:rPr>
        <w:t xml:space="preserve"> (calitate)</w:t>
      </w:r>
    </w:p>
    <w:p w:rsidR="00047092" w:rsidRDefault="00047092" w:rsidP="00047092">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Punctaj maxim - 100 puncte.</w:t>
      </w:r>
    </w:p>
    <w:p w:rsidR="00871B88" w:rsidRDefault="00120C24"/>
    <w:sectPr w:rsidR="00871B88" w:rsidSect="00D2126F">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0C24" w:rsidRDefault="00120C24" w:rsidP="00B0373C">
      <w:pPr>
        <w:spacing w:after="0" w:line="240" w:lineRule="auto"/>
      </w:pPr>
      <w:r>
        <w:separator/>
      </w:r>
    </w:p>
  </w:endnote>
  <w:endnote w:type="continuationSeparator" w:id="1">
    <w:p w:rsidR="00120C24" w:rsidRDefault="00120C24" w:rsidP="00B037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des">
    <w:altName w:val="Arial"/>
    <w:panose1 w:val="00000000000000000000"/>
    <w:charset w:val="00"/>
    <w:family w:val="swiss"/>
    <w:notTrueType/>
    <w:pitch w:val="default"/>
    <w:sig w:usb0="00000003" w:usb1="00000000" w:usb2="00000000" w:usb3="00000000" w:csb0="00000001"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73C" w:rsidRPr="00472B73" w:rsidRDefault="00B0373C" w:rsidP="00B0373C">
    <w:pPr>
      <w:pStyle w:val="Default"/>
      <w:jc w:val="center"/>
      <w:rPr>
        <w:rFonts w:ascii="Times New Roman" w:eastAsia="BatangChe" w:hAnsi="Times New Roman" w:cs="Times New Roman"/>
        <w:color w:val="2C5E7C"/>
        <w:sz w:val="16"/>
        <w:szCs w:val="16"/>
      </w:rPr>
    </w:pPr>
    <w:r w:rsidRPr="00472B73">
      <w:rPr>
        <w:rFonts w:ascii="Times New Roman" w:hAnsi="Times New Roman" w:cs="Times New Roman"/>
        <w:color w:val="2C5E7C"/>
        <w:sz w:val="16"/>
        <w:szCs w:val="16"/>
      </w:rPr>
      <w:t>Conținutul acestui material nu reprezintă în mod obligatoriu poziția oficială a Uniunii Europene sau a Guvernului României</w:t>
    </w:r>
    <w:r w:rsidRPr="00472B73">
      <w:rPr>
        <w:rFonts w:ascii="Times New Roman" w:eastAsia="BatangChe" w:hAnsi="Times New Roman" w:cs="Times New Roman"/>
        <w:color w:val="2C5E7C"/>
        <w:sz w:val="16"/>
        <w:szCs w:val="16"/>
      </w:rPr>
      <w:t>.</w:t>
    </w:r>
  </w:p>
  <w:p w:rsidR="00B0373C" w:rsidRDefault="00B0373C" w:rsidP="00B0373C">
    <w:pPr>
      <w:pStyle w:val="Default"/>
      <w:jc w:val="center"/>
      <w:rPr>
        <w:b/>
        <w:bCs/>
        <w:sz w:val="23"/>
        <w:szCs w:val="23"/>
      </w:rPr>
    </w:pPr>
    <w:r>
      <w:rPr>
        <w:b/>
        <w:noProof/>
        <w:sz w:val="23"/>
        <w:szCs w:val="23"/>
        <w:lang w:val="en-US"/>
      </w:rPr>
      <w:drawing>
        <wp:inline distT="0" distB="0" distL="0" distR="0">
          <wp:extent cx="5200650" cy="57150"/>
          <wp:effectExtent l="19050" t="0" r="0" b="0"/>
          <wp:docPr id="12" name="Picture 251" descr="C:\Users\internet\Desktop\pn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C:\Users\internet\Desktop\pnrr.png"/>
                  <pic:cNvPicPr>
                    <a:picLocks noChangeAspect="1" noChangeArrowheads="1"/>
                  </pic:cNvPicPr>
                </pic:nvPicPr>
                <pic:blipFill>
                  <a:blip r:embed="rId1"/>
                  <a:srcRect/>
                  <a:stretch>
                    <a:fillRect/>
                  </a:stretch>
                </pic:blipFill>
                <pic:spPr bwMode="auto">
                  <a:xfrm>
                    <a:off x="0" y="0"/>
                    <a:ext cx="5200650" cy="57150"/>
                  </a:xfrm>
                  <a:prstGeom prst="rect">
                    <a:avLst/>
                  </a:prstGeom>
                  <a:noFill/>
                  <a:ln w="9525">
                    <a:noFill/>
                    <a:miter lim="800000"/>
                    <a:headEnd/>
                    <a:tailEnd/>
                  </a:ln>
                </pic:spPr>
              </pic:pic>
            </a:graphicData>
          </a:graphic>
        </wp:inline>
      </w:drawing>
    </w:r>
  </w:p>
  <w:p w:rsidR="00B0373C" w:rsidRPr="00E13B43" w:rsidRDefault="00B0373C" w:rsidP="00B0373C">
    <w:pPr>
      <w:pStyle w:val="Default"/>
      <w:jc w:val="center"/>
      <w:rPr>
        <w:rFonts w:ascii="Tahoma" w:hAnsi="Tahoma" w:cs="Tahoma"/>
        <w:b/>
        <w:bCs/>
        <w:color w:val="5B9BD5"/>
        <w:sz w:val="22"/>
        <w:szCs w:val="22"/>
      </w:rPr>
    </w:pPr>
    <w:r w:rsidRPr="00E13B43">
      <w:rPr>
        <w:rFonts w:ascii="Tahoma" w:hAnsi="Tahoma" w:cs="Tahoma"/>
        <w:b/>
        <w:bCs/>
        <w:color w:val="5B9BD5"/>
        <w:sz w:val="22"/>
        <w:szCs w:val="22"/>
      </w:rPr>
      <w:t xml:space="preserve">„PNRR. Finanțat de </w:t>
    </w:r>
    <w:r w:rsidRPr="00D15602">
      <w:rPr>
        <w:rFonts w:ascii="Tahoma" w:hAnsi="Tahoma" w:cs="Tahoma"/>
        <w:b/>
        <w:bCs/>
        <w:color w:val="3D80A9"/>
        <w:sz w:val="22"/>
        <w:szCs w:val="22"/>
      </w:rPr>
      <w:t>Uniunea</w:t>
    </w:r>
    <w:r w:rsidRPr="00E13B43">
      <w:rPr>
        <w:rFonts w:ascii="Tahoma" w:hAnsi="Tahoma" w:cs="Tahoma"/>
        <w:b/>
        <w:bCs/>
        <w:color w:val="5B9BD5"/>
        <w:sz w:val="22"/>
        <w:szCs w:val="22"/>
      </w:rPr>
      <w:t xml:space="preserve"> Europeană – UrmătoareaGenerațieUE”.</w:t>
    </w:r>
  </w:p>
  <w:p w:rsidR="00B0373C" w:rsidRPr="00C22BA7" w:rsidRDefault="00B0373C" w:rsidP="00B0373C">
    <w:pPr>
      <w:pStyle w:val="Footer"/>
      <w:jc w:val="center"/>
      <w:rPr>
        <w:rFonts w:ascii="Tahoma" w:hAnsi="Tahoma" w:cs="Tahoma"/>
        <w:b/>
        <w:color w:val="3D80A9"/>
        <w:sz w:val="16"/>
        <w:szCs w:val="16"/>
        <w:u w:val="single"/>
      </w:rPr>
    </w:pPr>
    <w:hyperlink r:id="rId2" w:history="1">
      <w:r w:rsidRPr="00D15602">
        <w:rPr>
          <w:rStyle w:val="Hyperlink"/>
          <w:rFonts w:ascii="Tahoma" w:hAnsi="Tahoma" w:cs="Tahoma"/>
          <w:b/>
          <w:color w:val="3D80A9"/>
          <w:sz w:val="16"/>
          <w:szCs w:val="16"/>
        </w:rPr>
        <w:t>https://mfe.gov.ro/pnrr/</w:t>
      </w:r>
    </w:hyperlink>
    <w:hyperlink r:id="rId3" w:history="1">
      <w:r w:rsidRPr="00D15602">
        <w:rPr>
          <w:rStyle w:val="Hyperlink"/>
          <w:rFonts w:ascii="Tahoma" w:hAnsi="Tahoma" w:cs="Tahoma"/>
          <w:b/>
          <w:color w:val="3D80A9"/>
          <w:sz w:val="16"/>
          <w:szCs w:val="16"/>
        </w:rPr>
        <w:t>https://www.facebook.com/PNRROficial/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0C24" w:rsidRDefault="00120C24" w:rsidP="00B0373C">
      <w:pPr>
        <w:spacing w:after="0" w:line="240" w:lineRule="auto"/>
      </w:pPr>
      <w:r>
        <w:separator/>
      </w:r>
    </w:p>
  </w:footnote>
  <w:footnote w:type="continuationSeparator" w:id="1">
    <w:p w:rsidR="00120C24" w:rsidRDefault="00120C24" w:rsidP="00B037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73C" w:rsidRDefault="00B0373C" w:rsidP="00B0373C">
    <w:pPr>
      <w:pStyle w:val="Header"/>
      <w:tabs>
        <w:tab w:val="left" w:pos="4220"/>
        <w:tab w:val="left" w:pos="4350"/>
      </w:tabs>
    </w:pPr>
    <w:r>
      <w:rPr>
        <w:noProof/>
        <w:lang w:val="en-US"/>
      </w:rPr>
      <w:drawing>
        <wp:inline distT="0" distB="0" distL="0" distR="0">
          <wp:extent cx="2124075" cy="514350"/>
          <wp:effectExtent l="19050" t="0" r="9525" b="0"/>
          <wp:docPr id="5"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
                  <a:srcRect/>
                  <a:stretch>
                    <a:fillRect/>
                  </a:stretch>
                </pic:blipFill>
                <pic:spPr bwMode="auto">
                  <a:xfrm>
                    <a:off x="0" y="0"/>
                    <a:ext cx="2124075" cy="514350"/>
                  </a:xfrm>
                  <a:prstGeom prst="rect">
                    <a:avLst/>
                  </a:prstGeom>
                  <a:noFill/>
                  <a:ln w="9525">
                    <a:noFill/>
                    <a:miter lim="800000"/>
                    <a:headEnd/>
                    <a:tailEnd/>
                  </a:ln>
                </pic:spPr>
              </pic:pic>
            </a:graphicData>
          </a:graphic>
        </wp:inline>
      </w:drawing>
    </w:r>
    <w:r>
      <w:tab/>
    </w:r>
    <w:r>
      <w:rPr>
        <w:noProof/>
        <w:lang w:val="en-US"/>
      </w:rPr>
      <w:drawing>
        <wp:inline distT="0" distB="0" distL="0" distR="0">
          <wp:extent cx="619125" cy="600075"/>
          <wp:effectExtent l="19050" t="0" r="9525" b="0"/>
          <wp:docPr id="6"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
                  <a:srcRect/>
                  <a:stretch>
                    <a:fillRect/>
                  </a:stretch>
                </pic:blipFill>
                <pic:spPr bwMode="auto">
                  <a:xfrm>
                    <a:off x="0" y="0"/>
                    <a:ext cx="619125" cy="600075"/>
                  </a:xfrm>
                  <a:prstGeom prst="rect">
                    <a:avLst/>
                  </a:prstGeom>
                  <a:noFill/>
                  <a:ln w="9525">
                    <a:noFill/>
                    <a:miter lim="800000"/>
                    <a:headEnd/>
                    <a:tailEnd/>
                  </a:ln>
                </pic:spPr>
              </pic:pic>
            </a:graphicData>
          </a:graphic>
        </wp:inline>
      </w:drawing>
    </w:r>
    <w:r>
      <w:tab/>
    </w:r>
    <w:r>
      <w:rPr>
        <w:noProof/>
        <w:lang w:val="en-US"/>
      </w:rPr>
      <w:drawing>
        <wp:inline distT="0" distB="0" distL="0" distR="0">
          <wp:extent cx="2686050" cy="485775"/>
          <wp:effectExtent l="19050" t="0" r="0" b="0"/>
          <wp:docPr id="7"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
                  <a:srcRect/>
                  <a:stretch>
                    <a:fillRect/>
                  </a:stretch>
                </pic:blipFill>
                <pic:spPr bwMode="auto">
                  <a:xfrm>
                    <a:off x="0" y="0"/>
                    <a:ext cx="2686050" cy="485775"/>
                  </a:xfrm>
                  <a:prstGeom prst="rect">
                    <a:avLst/>
                  </a:prstGeom>
                  <a:noFill/>
                  <a:ln w="9525">
                    <a:noFill/>
                    <a:miter lim="800000"/>
                    <a:headEnd/>
                    <a:tailEnd/>
                  </a:ln>
                </pic:spPr>
              </pic:pic>
            </a:graphicData>
          </a:graphic>
        </wp:inline>
      </w:drawing>
    </w:r>
  </w:p>
  <w:p w:rsidR="00B0373C" w:rsidRDefault="00B0373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047092"/>
    <w:rsid w:val="00047092"/>
    <w:rsid w:val="00100E70"/>
    <w:rsid w:val="00120C24"/>
    <w:rsid w:val="00205D19"/>
    <w:rsid w:val="00367622"/>
    <w:rsid w:val="00392318"/>
    <w:rsid w:val="00442E72"/>
    <w:rsid w:val="00537B89"/>
    <w:rsid w:val="008E6F0D"/>
    <w:rsid w:val="00B0373C"/>
    <w:rsid w:val="00C71119"/>
    <w:rsid w:val="00D2126F"/>
    <w:rsid w:val="00E97AD7"/>
    <w:rsid w:val="00FD11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092"/>
    <w:pPr>
      <w:spacing w:after="160" w:line="259"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47092"/>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1,hd Char,Char1 Char,Char1 Char Char Char"/>
    <w:basedOn w:val="Normal"/>
    <w:link w:val="HeaderChar"/>
    <w:uiPriority w:val="99"/>
    <w:unhideWhenUsed/>
    <w:rsid w:val="00B0373C"/>
    <w:pPr>
      <w:tabs>
        <w:tab w:val="center" w:pos="4680"/>
        <w:tab w:val="right" w:pos="9360"/>
      </w:tabs>
      <w:spacing w:after="0" w:line="240" w:lineRule="auto"/>
    </w:pPr>
  </w:style>
  <w:style w:type="character" w:customStyle="1" w:styleId="HeaderChar">
    <w:name w:val="Header Char"/>
    <w:aliases w:val="Header1 Char,hd Char Char,Char1 Char Char,Char1 Char Char Char Char"/>
    <w:basedOn w:val="DefaultParagraphFont"/>
    <w:link w:val="Header"/>
    <w:uiPriority w:val="99"/>
    <w:rsid w:val="00B0373C"/>
    <w:rPr>
      <w:lang w:val="ro-RO"/>
    </w:rPr>
  </w:style>
  <w:style w:type="paragraph" w:styleId="Footer">
    <w:name w:val="footer"/>
    <w:basedOn w:val="Normal"/>
    <w:link w:val="FooterChar"/>
    <w:uiPriority w:val="99"/>
    <w:unhideWhenUsed/>
    <w:rsid w:val="00B037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373C"/>
    <w:rPr>
      <w:lang w:val="ro-RO"/>
    </w:rPr>
  </w:style>
  <w:style w:type="paragraph" w:styleId="BalloonText">
    <w:name w:val="Balloon Text"/>
    <w:basedOn w:val="Normal"/>
    <w:link w:val="BalloonTextChar"/>
    <w:uiPriority w:val="99"/>
    <w:semiHidden/>
    <w:unhideWhenUsed/>
    <w:rsid w:val="00B037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73C"/>
    <w:rPr>
      <w:rFonts w:ascii="Tahoma" w:hAnsi="Tahoma" w:cs="Tahoma"/>
      <w:sz w:val="16"/>
      <w:szCs w:val="16"/>
      <w:lang w:val="ro-RO"/>
    </w:rPr>
  </w:style>
  <w:style w:type="character" w:styleId="Hyperlink">
    <w:name w:val="Hyperlink"/>
    <w:basedOn w:val="DefaultParagraphFont"/>
    <w:uiPriority w:val="99"/>
    <w:unhideWhenUsed/>
    <w:rsid w:val="00B0373C"/>
    <w:rPr>
      <w:color w:val="0000FF" w:themeColor="hyperlink"/>
      <w:u w:val="single"/>
    </w:rPr>
  </w:style>
  <w:style w:type="paragraph" w:customStyle="1" w:styleId="Default">
    <w:name w:val="Default"/>
    <w:uiPriority w:val="99"/>
    <w:rsid w:val="00B0373C"/>
    <w:pPr>
      <w:autoSpaceDE w:val="0"/>
      <w:autoSpaceDN w:val="0"/>
      <w:adjustRightInd w:val="0"/>
    </w:pPr>
    <w:rPr>
      <w:rFonts w:ascii="Andes" w:hAnsi="Andes" w:cs="Andes"/>
      <w:color w:val="000000"/>
      <w:sz w:val="24"/>
      <w:szCs w:val="24"/>
      <w:lang w:val="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buzdugan_ana_sv</dc:creator>
  <cp:lastModifiedBy>buzdugan_ana_sv</cp:lastModifiedBy>
  <cp:revision>3</cp:revision>
  <cp:lastPrinted>2026-01-13T11:23:00Z</cp:lastPrinted>
  <dcterms:created xsi:type="dcterms:W3CDTF">2026-01-13T11:03:00Z</dcterms:created>
  <dcterms:modified xsi:type="dcterms:W3CDTF">2026-01-13T11:33:00Z</dcterms:modified>
</cp:coreProperties>
</file>